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B533C" w14:textId="53400C04" w:rsidR="00BB0921" w:rsidRDefault="00E022AE" w:rsidP="000B6A5C">
      <w:pPr>
        <w:pStyle w:val="Destinataire"/>
        <w:ind w:left="-284" w:right="-1"/>
        <w:rPr>
          <w:rFonts w:ascii="Avenir Next Demi Bold" w:eastAsia="Avenir Next Demi Bold" w:hAnsi="Avenir Next Demi Bold" w:cs="Avenir Next Demi Bold"/>
          <w:color w:val="FF8D12"/>
          <w:sz w:val="16"/>
          <w:szCs w:val="16"/>
        </w:rPr>
      </w:pPr>
      <w:bookmarkStart w:id="0" w:name="_GoBack"/>
      <w:bookmarkEnd w:id="0"/>
      <w:r w:rsidRPr="00F63637">
        <w:rPr>
          <w:rFonts w:cstheme="minorHAnsi"/>
          <w:noProof/>
        </w:rPr>
        <w:drawing>
          <wp:inline distT="0" distB="0" distL="0" distR="0" wp14:anchorId="3AB7DE58" wp14:editId="04287153">
            <wp:extent cx="2309172" cy="623476"/>
            <wp:effectExtent l="0" t="0" r="2540" b="12065"/>
            <wp:docPr id="1" name="Imag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L6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8931" cy="631511"/>
                    </a:xfrm>
                    <a:prstGeom prst="rect">
                      <a:avLst/>
                    </a:prstGeom>
                  </pic:spPr>
                </pic:pic>
              </a:graphicData>
            </a:graphic>
          </wp:inline>
        </w:drawing>
      </w:r>
      <w:r w:rsidR="00754DA1">
        <w:rPr>
          <w:rFonts w:ascii="Avenir Next Demi Bold" w:eastAsia="Avenir Next Demi Bold" w:hAnsi="Avenir Next Demi Bold" w:cs="Avenir Next Demi Bold"/>
          <w:color w:val="FF8D12"/>
          <w:sz w:val="16"/>
          <w:szCs w:val="16"/>
        </w:rPr>
        <w:tab/>
      </w:r>
      <w:r w:rsidR="000B6A5C">
        <w:rPr>
          <w:rFonts w:ascii="Avenir Next Demi Bold" w:eastAsia="Avenir Next Demi Bold" w:hAnsi="Avenir Next Demi Bold" w:cs="Avenir Next Demi Bold"/>
          <w:color w:val="FF8D12"/>
          <w:sz w:val="16"/>
          <w:szCs w:val="16"/>
        </w:rPr>
        <w:tab/>
      </w:r>
      <w:r w:rsidR="000B6A5C">
        <w:rPr>
          <w:rFonts w:ascii="Avenir Next Demi Bold" w:eastAsia="Avenir Next Demi Bold" w:hAnsi="Avenir Next Demi Bold" w:cs="Avenir Next Demi Bold"/>
          <w:color w:val="FF8D12"/>
          <w:sz w:val="16"/>
          <w:szCs w:val="16"/>
        </w:rPr>
        <w:tab/>
      </w:r>
      <w:r w:rsidR="000B6A5C">
        <w:rPr>
          <w:rFonts w:ascii="Avenir Next Demi Bold" w:eastAsia="Avenir Next Demi Bold" w:hAnsi="Avenir Next Demi Bold" w:cs="Avenir Next Demi Bold"/>
          <w:color w:val="FF8D12"/>
          <w:sz w:val="16"/>
          <w:szCs w:val="16"/>
        </w:rPr>
        <w:tab/>
      </w:r>
      <w:r w:rsidR="000B6A5C">
        <w:rPr>
          <w:rFonts w:ascii="Avenir Next Demi Bold" w:eastAsia="Avenir Next Demi Bold" w:hAnsi="Avenir Next Demi Bold" w:cs="Avenir Next Demi Bold"/>
          <w:color w:val="FF8D12"/>
          <w:sz w:val="16"/>
          <w:szCs w:val="16"/>
        </w:rPr>
        <w:tab/>
      </w:r>
      <w:r w:rsidR="000B6A5C">
        <w:rPr>
          <w:rFonts w:ascii="Avenir Next Demi Bold" w:eastAsia="Avenir Next Demi Bold" w:hAnsi="Avenir Next Demi Bold" w:cs="Avenir Next Demi Bold"/>
          <w:color w:val="FF8D12"/>
          <w:sz w:val="16"/>
          <w:szCs w:val="16"/>
        </w:rPr>
        <w:tab/>
        <w:t xml:space="preserve">            </w:t>
      </w:r>
      <w:r w:rsidR="000B6A5C" w:rsidRPr="000B6A5C">
        <w:rPr>
          <w:rFonts w:ascii="Avenir Next Demi Bold" w:eastAsia="Avenir Next Demi Bold" w:hAnsi="Avenir Next Demi Bold" w:cs="Avenir Next Demi Bold"/>
          <w:noProof/>
          <w:color w:val="FF8D12"/>
          <w:sz w:val="16"/>
          <w:szCs w:val="16"/>
        </w:rPr>
        <w:drawing>
          <wp:inline distT="0" distB="0" distL="0" distR="0" wp14:anchorId="7AF0C626" wp14:editId="48CBBB74">
            <wp:extent cx="1210420" cy="980440"/>
            <wp:effectExtent l="0" t="0" r="8890" b="101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6460" cy="1082533"/>
                    </a:xfrm>
                    <a:prstGeom prst="rect">
                      <a:avLst/>
                    </a:prstGeom>
                  </pic:spPr>
                </pic:pic>
              </a:graphicData>
            </a:graphic>
          </wp:inline>
        </w:drawing>
      </w:r>
    </w:p>
    <w:p w14:paraId="645517BC" w14:textId="77777777" w:rsidR="00BB0921" w:rsidRPr="00F55489" w:rsidRDefault="00BB0921" w:rsidP="00812254">
      <w:pPr>
        <w:pStyle w:val="Destinataire"/>
        <w:ind w:left="-567"/>
        <w:jc w:val="center"/>
        <w:rPr>
          <w:rFonts w:ascii="Avenir Next Demi Bold" w:eastAsia="Avenir Next Demi Bold" w:hAnsi="Avenir Next Demi Bold" w:cs="Avenir Next Demi Bold"/>
          <w:color w:val="FF8D12"/>
          <w:sz w:val="18"/>
          <w:szCs w:val="18"/>
        </w:rPr>
      </w:pPr>
    </w:p>
    <w:p w14:paraId="5550633A" w14:textId="77777777" w:rsidR="00BB0921" w:rsidRDefault="00BB0921" w:rsidP="00F55489">
      <w:pPr>
        <w:pStyle w:val="Destinataire"/>
        <w:rPr>
          <w:rFonts w:ascii="Avenir Next Demi Bold" w:eastAsia="Avenir Next Demi Bold" w:hAnsi="Avenir Next Demi Bold" w:cs="Avenir Next Demi Bold"/>
          <w:color w:val="FF8D12"/>
          <w:sz w:val="18"/>
          <w:szCs w:val="18"/>
        </w:rPr>
      </w:pPr>
    </w:p>
    <w:p w14:paraId="16FCECDC" w14:textId="77777777" w:rsidR="00F55489" w:rsidRPr="00F55489" w:rsidRDefault="00F55489" w:rsidP="00F55489">
      <w:pPr>
        <w:pStyle w:val="Destinataire"/>
        <w:rPr>
          <w:rFonts w:ascii="Avenir Next Demi Bold" w:eastAsia="Avenir Next Demi Bold" w:hAnsi="Avenir Next Demi Bold" w:cs="Avenir Next Demi Bold"/>
          <w:color w:val="FF8D12"/>
          <w:sz w:val="18"/>
          <w:szCs w:val="18"/>
        </w:rPr>
      </w:pPr>
    </w:p>
    <w:p w14:paraId="69BE88BE" w14:textId="3D27AF53" w:rsidR="00812254" w:rsidRPr="00AC3753" w:rsidRDefault="00444F74" w:rsidP="000F1EEF">
      <w:pPr>
        <w:pStyle w:val="Destinataire"/>
        <w:pBdr>
          <w:top w:val="single" w:sz="12" w:space="1" w:color="595959" w:themeColor="text1" w:themeTint="A6" w:shadow="1"/>
          <w:left w:val="single" w:sz="12" w:space="1" w:color="595959" w:themeColor="text1" w:themeTint="A6" w:shadow="1"/>
          <w:bottom w:val="single" w:sz="12" w:space="1" w:color="595959" w:themeColor="text1" w:themeTint="A6" w:shadow="1"/>
          <w:right w:val="single" w:sz="12" w:space="1" w:color="595959" w:themeColor="text1" w:themeTint="A6" w:shadow="1"/>
          <w:between w:val="none" w:sz="0" w:space="0" w:color="auto"/>
          <w:bar w:val="none" w:sz="0" w:color="auto"/>
        </w:pBdr>
        <w:tabs>
          <w:tab w:val="left" w:pos="6080"/>
        </w:tabs>
        <w:ind w:left="-426" w:right="-427"/>
        <w:contextualSpacing/>
        <w:jc w:val="center"/>
        <w:rPr>
          <w:rFonts w:ascii="Avenir Next Demi Bold" w:hAnsi="Avenir Next Demi Bold"/>
          <w:b/>
          <w:bCs/>
          <w:color w:val="404040" w:themeColor="text1" w:themeTint="BF"/>
          <w:sz w:val="24"/>
          <w:szCs w:val="24"/>
        </w:rPr>
      </w:pPr>
      <w:r w:rsidRPr="00AC3753">
        <w:rPr>
          <w:rFonts w:ascii="Avenir Next Demi Bold" w:hAnsi="Avenir Next Demi Bold"/>
          <w:b/>
          <w:bCs/>
          <w:color w:val="404040" w:themeColor="text1" w:themeTint="BF"/>
          <w:sz w:val="24"/>
          <w:szCs w:val="24"/>
        </w:rPr>
        <w:t>Règlement intérieur d’une salle des fêtes communale &amp; Convention-type de mise à disposition</w:t>
      </w:r>
    </w:p>
    <w:p w14:paraId="3D62B0B8" w14:textId="77777777" w:rsidR="00FE494D" w:rsidRPr="00356FE4" w:rsidRDefault="00FE494D" w:rsidP="00BB0921">
      <w:pPr>
        <w:pStyle w:val="Destinataire"/>
      </w:pPr>
    </w:p>
    <w:p w14:paraId="05B54E2F" w14:textId="413798EC" w:rsidR="00F55489" w:rsidRPr="00834705" w:rsidRDefault="00F55489" w:rsidP="000F1EEF">
      <w:pPr>
        <w:pStyle w:val="Destinataire"/>
        <w:ind w:left="-426"/>
        <w:rPr>
          <w:rFonts w:cs="Helvetica"/>
          <w:i/>
          <w:sz w:val="18"/>
          <w:szCs w:val="18"/>
        </w:rPr>
      </w:pPr>
      <w:r w:rsidRPr="00F55489">
        <w:rPr>
          <w:rFonts w:ascii="Cambria Math" w:hAnsi="Cambria Math" w:cs="Cambria Math"/>
          <w:b/>
        </w:rPr>
        <w:t>↺</w:t>
      </w:r>
      <w:r>
        <w:rPr>
          <w:rFonts w:ascii="Helvetica" w:hAnsi="Helvetica" w:cs="Helvetica"/>
          <w:i/>
          <w:sz w:val="18"/>
          <w:szCs w:val="18"/>
        </w:rPr>
        <w:t xml:space="preserve"> </w:t>
      </w:r>
      <w:r w:rsidR="009E388A">
        <w:rPr>
          <w:rFonts w:cs="Helvetica"/>
          <w:i/>
          <w:sz w:val="18"/>
          <w:szCs w:val="18"/>
        </w:rPr>
        <w:t>Modèle de document à jour du 29</w:t>
      </w:r>
      <w:r w:rsidRPr="00834705">
        <w:rPr>
          <w:rFonts w:cs="Helvetica"/>
          <w:i/>
          <w:sz w:val="18"/>
          <w:szCs w:val="18"/>
        </w:rPr>
        <w:t xml:space="preserve">/09/2017 </w:t>
      </w:r>
    </w:p>
    <w:p w14:paraId="2829FD4C" w14:textId="6248FD20" w:rsidR="00AD6A65" w:rsidRPr="00356FE4" w:rsidRDefault="00F55489" w:rsidP="000F1EEF">
      <w:pPr>
        <w:pStyle w:val="Destinataire"/>
        <w:ind w:left="-426"/>
        <w:rPr>
          <w:i/>
          <w:sz w:val="18"/>
          <w:szCs w:val="18"/>
        </w:rPr>
      </w:pPr>
      <w:r w:rsidRPr="00834705">
        <w:rPr>
          <w:rFonts w:cs="Helvetica"/>
          <w:i/>
          <w:sz w:val="18"/>
          <w:szCs w:val="18"/>
        </w:rPr>
        <w:t xml:space="preserve">    (</w:t>
      </w:r>
      <w:r w:rsidR="003256BD">
        <w:rPr>
          <w:rFonts w:cs="Helvetica"/>
          <w:i/>
          <w:sz w:val="18"/>
          <w:szCs w:val="18"/>
        </w:rPr>
        <w:t>18</w:t>
      </w:r>
      <w:r w:rsidRPr="00834705">
        <w:rPr>
          <w:rFonts w:cs="Helvetica"/>
          <w:i/>
          <w:sz w:val="18"/>
          <w:szCs w:val="18"/>
        </w:rPr>
        <w:t xml:space="preserve"> pages)</w:t>
      </w:r>
    </w:p>
    <w:p w14:paraId="7FC728F1" w14:textId="77777777" w:rsidR="00A1441A" w:rsidRPr="00997B3A" w:rsidRDefault="00A1441A" w:rsidP="00BB0921">
      <w:pPr>
        <w:pStyle w:val="Destinataire"/>
        <w:rPr>
          <w:sz w:val="18"/>
          <w:szCs w:val="18"/>
        </w:rPr>
      </w:pPr>
    </w:p>
    <w:p w14:paraId="2523A8D7" w14:textId="77777777" w:rsidR="00356FE4" w:rsidRPr="00997B3A" w:rsidRDefault="00356FE4" w:rsidP="00BB0921">
      <w:pPr>
        <w:pStyle w:val="Destinataire"/>
        <w:rPr>
          <w:sz w:val="18"/>
          <w:szCs w:val="18"/>
        </w:rPr>
      </w:pPr>
    </w:p>
    <w:p w14:paraId="00177736" w14:textId="6E5BAB61" w:rsidR="00F55489" w:rsidRPr="00AC3753" w:rsidRDefault="00AD6A65" w:rsidP="00A1441A">
      <w:pPr>
        <w:pStyle w:val="Destinataire"/>
        <w:contextualSpacing/>
        <w:rPr>
          <w:rFonts w:ascii="Avenir Next Demi Bold" w:hAnsi="Avenir Next Demi Bold"/>
          <w:b/>
          <w:bCs/>
          <w:color w:val="0096FF"/>
          <w:sz w:val="22"/>
          <w:szCs w:val="22"/>
        </w:rPr>
      </w:pPr>
      <w:r w:rsidRPr="00AC3753">
        <w:rPr>
          <w:rFonts w:ascii="Avenir Next Demi Bold" w:hAnsi="Avenir Next Demi Bold"/>
          <w:b/>
          <w:bCs/>
          <w:color w:val="0096FF"/>
          <w:sz w:val="22"/>
          <w:szCs w:val="22"/>
        </w:rPr>
        <w:t>Présentatio</w:t>
      </w:r>
      <w:r w:rsidR="00422F04" w:rsidRPr="00AC3753">
        <w:rPr>
          <w:rFonts w:ascii="Avenir Next Demi Bold" w:hAnsi="Avenir Next Demi Bold"/>
          <w:b/>
          <w:bCs/>
          <w:color w:val="0096FF"/>
          <w:sz w:val="22"/>
          <w:szCs w:val="22"/>
        </w:rPr>
        <w:t>n du document</w:t>
      </w:r>
    </w:p>
    <w:p w14:paraId="311063FF" w14:textId="77777777" w:rsidR="00C62164" w:rsidRPr="00712527" w:rsidRDefault="00C62164" w:rsidP="00A1441A">
      <w:pPr>
        <w:pStyle w:val="Destinataire"/>
        <w:contextualSpacing/>
        <w:rPr>
          <w:sz w:val="16"/>
          <w:szCs w:val="16"/>
        </w:rPr>
      </w:pPr>
    </w:p>
    <w:p w14:paraId="2A6ABCC3" w14:textId="77777777" w:rsidR="007D67BD" w:rsidRDefault="003256BD" w:rsidP="00A1441A">
      <w:pPr>
        <w:pStyle w:val="Destinataire"/>
        <w:contextualSpacing/>
      </w:pPr>
      <w:r w:rsidRPr="003256BD">
        <w:t xml:space="preserve">Au quotidien, les communes doivent faire face à une sollicitation croissante de la part de leurs usagers, des associations et autres acteurs locaux pour l’occupation privative de leur domaine public. A cet égard, force est de constater que </w:t>
      </w:r>
      <w:r w:rsidRPr="00AC3753">
        <w:rPr>
          <w:rFonts w:ascii="Avenir Next Demi Bold" w:hAnsi="Avenir Next Demi Bold"/>
          <w:b/>
          <w:bCs/>
        </w:rPr>
        <w:t>la traditionnelle Salle des fêtes (ou salle polyvalente) communale s’avère particulièrement convoitée</w:t>
      </w:r>
      <w:r w:rsidRPr="003256BD">
        <w:rPr>
          <w:bCs/>
        </w:rPr>
        <w:t>, ceci en tout point du territoire et quelle que soit la taille de la collectivité.</w:t>
      </w:r>
      <w:r w:rsidRPr="003256BD">
        <w:t xml:space="preserve"> Il convient de s’en réjouir car la mise à disposition de ces lieux contribue sensiblement à l’animation de la vie locale.</w:t>
      </w:r>
    </w:p>
    <w:p w14:paraId="16506F69" w14:textId="77777777" w:rsidR="007D67BD" w:rsidRDefault="007D67BD" w:rsidP="00A1441A">
      <w:pPr>
        <w:pStyle w:val="Destinataire"/>
        <w:contextualSpacing/>
      </w:pPr>
    </w:p>
    <w:p w14:paraId="306476CA" w14:textId="59FD00CC" w:rsidR="001D11DD" w:rsidRDefault="007D67BD" w:rsidP="00A1441A">
      <w:pPr>
        <w:pStyle w:val="Destinataire"/>
        <w:contextualSpacing/>
      </w:pPr>
      <w:r w:rsidRPr="007D67BD">
        <w:t xml:space="preserve">En pratique, l'extrême variété des situations susceptibles de se présenter — compte tenu de la diversité des équipements (configurations de la salle, mobiliers et matériels disponibles à l’emprunt) et des types d’événements organisés (réceptions familiales, banquets, manifestations d’ordre social, culturel ou sportif, réunions…) — incite à </w:t>
      </w:r>
      <w:r w:rsidRPr="00AC3753">
        <w:rPr>
          <w:rFonts w:ascii="Avenir Next Demi Bold" w:hAnsi="Avenir Next Demi Bold"/>
          <w:b/>
          <w:bCs/>
        </w:rPr>
        <w:t xml:space="preserve">édicter à l’attention des utilisateurs un ensemble </w:t>
      </w:r>
      <w:r w:rsidR="00A66D34" w:rsidRPr="00AC3753">
        <w:rPr>
          <w:rFonts w:ascii="Avenir Next Demi Bold" w:hAnsi="Avenir Next Demi Bold"/>
          <w:b/>
          <w:bCs/>
        </w:rPr>
        <w:t xml:space="preserve">cohérent de </w:t>
      </w:r>
      <w:r w:rsidR="00A66D34" w:rsidRPr="00AC3753">
        <w:rPr>
          <w:rFonts w:ascii="Avenir Next Demi Bold" w:hAnsi="Avenir Next Demi Bold"/>
          <w:b/>
          <w:bCs/>
          <w:u w:val="dotted"/>
        </w:rPr>
        <w:t xml:space="preserve">règles </w:t>
      </w:r>
      <w:r w:rsidRPr="00AC3753">
        <w:rPr>
          <w:rFonts w:ascii="Avenir Next Demi Bold" w:hAnsi="Avenir Next Demi Bold"/>
          <w:b/>
          <w:bCs/>
          <w:u w:val="dotted"/>
        </w:rPr>
        <w:t>de discipline, d’hygiène et de sécurité</w:t>
      </w:r>
      <w:r w:rsidRPr="007D67BD">
        <w:t>.</w:t>
      </w:r>
    </w:p>
    <w:p w14:paraId="12E855F0" w14:textId="77777777" w:rsidR="001D11DD" w:rsidRDefault="001D11DD" w:rsidP="001D11DD">
      <w:pPr>
        <w:pStyle w:val="Destinataire"/>
        <w:ind w:left="1"/>
        <w:contextualSpacing/>
      </w:pPr>
    </w:p>
    <w:p w14:paraId="7635819F" w14:textId="32FF63AB" w:rsidR="001D11DD" w:rsidRPr="001D11DD" w:rsidRDefault="001D11DD" w:rsidP="001D11DD">
      <w:pPr>
        <w:pStyle w:val="Destinataire"/>
        <w:numPr>
          <w:ilvl w:val="0"/>
          <w:numId w:val="9"/>
        </w:numPr>
        <w:ind w:left="284" w:hanging="284"/>
        <w:contextualSpacing/>
        <w:rPr>
          <w:rFonts w:eastAsia="Avenir Next" w:cs="Avenir Next"/>
        </w:rPr>
      </w:pPr>
      <w:r w:rsidRPr="009B4A1F">
        <w:rPr>
          <w:rFonts w:eastAsia="Avenir Next" w:cs="Avenir Next"/>
        </w:rPr>
        <w:t>La mise à disposition de locaux peut se révéler source d’ennuis divers pour la</w:t>
      </w:r>
      <w:r>
        <w:rPr>
          <w:rFonts w:eastAsia="Avenir Next" w:cs="Avenir Next"/>
        </w:rPr>
        <w:t xml:space="preserve"> commune propriétaire des lieux : </w:t>
      </w:r>
      <w:r w:rsidRPr="001D11DD">
        <w:rPr>
          <w:rFonts w:eastAsia="Avenir Next" w:cs="Avenir Next"/>
        </w:rPr>
        <w:t>troubles de voisinage,</w:t>
      </w:r>
      <w:r>
        <w:rPr>
          <w:rFonts w:eastAsia="Avenir Next" w:cs="Avenir Next"/>
        </w:rPr>
        <w:t xml:space="preserve"> atteintes au bon ordre et à la tranquillité publique,</w:t>
      </w:r>
      <w:r w:rsidRPr="001D11DD">
        <w:rPr>
          <w:rFonts w:eastAsia="Avenir Next" w:cs="Avenir Next"/>
        </w:rPr>
        <w:t xml:space="preserve"> </w:t>
      </w:r>
      <w:r>
        <w:rPr>
          <w:rFonts w:eastAsia="Avenir Next" w:cs="Avenir Next"/>
        </w:rPr>
        <w:t xml:space="preserve">dégradation des locaux, </w:t>
      </w:r>
      <w:r w:rsidRPr="001D11DD">
        <w:rPr>
          <w:rFonts w:eastAsia="Avenir Next" w:cs="Avenir Next"/>
        </w:rPr>
        <w:t xml:space="preserve">vol de matériel, accidents de personnes… </w:t>
      </w:r>
      <w:r w:rsidRPr="001D11DD">
        <w:rPr>
          <w:rFonts w:ascii="Avenir Next Demi Bold" w:eastAsia="Avenir Next" w:hAnsi="Avenir Next Demi Bold" w:cs="Avenir Next"/>
          <w:b/>
          <w:bCs/>
        </w:rPr>
        <w:t>Autant de risques contre lesquels il importe de se prémunir</w:t>
      </w:r>
      <w:r>
        <w:rPr>
          <w:rFonts w:eastAsia="Avenir Next" w:cs="Avenir Next"/>
        </w:rPr>
        <w:t>.</w:t>
      </w:r>
    </w:p>
    <w:p w14:paraId="38D28522" w14:textId="77777777" w:rsidR="006A3C0E" w:rsidRDefault="006A3C0E" w:rsidP="00F37F9F">
      <w:pPr>
        <w:pStyle w:val="Destinataire"/>
        <w:contextualSpacing/>
        <w:rPr>
          <w:rFonts w:ascii="Avenir Next Demi Bold" w:hAnsi="Avenir Next Demi Bold"/>
        </w:rPr>
      </w:pPr>
    </w:p>
    <w:p w14:paraId="38686368" w14:textId="63A4E2D2" w:rsidR="00CD46BE" w:rsidRPr="00CD46BE" w:rsidRDefault="00753870" w:rsidP="00FA3832">
      <w:pPr>
        <w:pStyle w:val="Destinataire"/>
        <w:numPr>
          <w:ilvl w:val="0"/>
          <w:numId w:val="3"/>
        </w:numPr>
        <w:ind w:left="284"/>
        <w:contextualSpacing/>
        <w:rPr>
          <w:rFonts w:eastAsia="Avenir Next" w:cs="Avenir Next"/>
        </w:rPr>
      </w:pPr>
      <w:r>
        <w:t>A cet effet</w:t>
      </w:r>
      <w:r w:rsidR="00CA4021">
        <w:t xml:space="preserve">, </w:t>
      </w:r>
      <w:r w:rsidR="00AD6A65" w:rsidRPr="00AD6A65">
        <w:rPr>
          <w:iCs/>
        </w:rPr>
        <w:t>n</w:t>
      </w:r>
      <w:r w:rsidR="00EC1337">
        <w:t xml:space="preserve">ous </w:t>
      </w:r>
      <w:r w:rsidR="00AD6A65">
        <w:t>vous proposons</w:t>
      </w:r>
      <w:r w:rsidR="00EC1337">
        <w:t xml:space="preserve"> un </w:t>
      </w:r>
      <w:r w:rsidR="00EC1337" w:rsidRPr="00AC3753">
        <w:rPr>
          <w:rFonts w:ascii="Avenir Next Demi Bold" w:hAnsi="Avenir Next Demi Bold"/>
          <w:b/>
          <w:bCs/>
          <w:color w:val="FF4906"/>
        </w:rPr>
        <w:t xml:space="preserve">modèle </w:t>
      </w:r>
      <w:r w:rsidR="00D04088" w:rsidRPr="00AC3753">
        <w:rPr>
          <w:rFonts w:ascii="Avenir Next Demi Bold" w:hAnsi="Avenir Next Demi Bold"/>
          <w:b/>
          <w:bCs/>
          <w:color w:val="FF4906"/>
        </w:rPr>
        <w:t xml:space="preserve">de </w:t>
      </w:r>
      <w:r w:rsidR="00D04088" w:rsidRPr="00AC3753">
        <w:rPr>
          <w:rFonts w:ascii="Avenir Next Demi Bold" w:hAnsi="Avenir Next Demi Bold"/>
          <w:b/>
          <w:bCs/>
          <w:color w:val="FF4906"/>
          <w:u w:val="single"/>
        </w:rPr>
        <w:t xml:space="preserve">règlement </w:t>
      </w:r>
      <w:r w:rsidR="00D04088" w:rsidRPr="00AC3753">
        <w:rPr>
          <w:rFonts w:ascii="Avenir Next Demi Bold" w:eastAsia="Times New Roman" w:hAnsi="Avenir Next Demi Bold" w:cs="Arial"/>
          <w:b/>
          <w:bCs/>
          <w:color w:val="FF4906"/>
          <w:u w:val="single"/>
        </w:rPr>
        <w:t>intérieur</w:t>
      </w:r>
      <w:r w:rsidR="00D04088" w:rsidRPr="00AC3753">
        <w:rPr>
          <w:rFonts w:ascii="Avenir Next Demi Bold" w:eastAsia="Times New Roman" w:hAnsi="Avenir Next Demi Bold" w:cs="Arial"/>
          <w:b/>
          <w:bCs/>
          <w:color w:val="FF4906"/>
        </w:rPr>
        <w:t xml:space="preserve"> définissant les conditions générales </w:t>
      </w:r>
      <w:r w:rsidR="00CA4021" w:rsidRPr="00AC3753">
        <w:rPr>
          <w:rFonts w:ascii="Avenir Next Demi Bold" w:eastAsia="Times New Roman" w:hAnsi="Avenir Next Demi Bold" w:cs="Arial"/>
          <w:b/>
          <w:bCs/>
          <w:color w:val="FF4906"/>
        </w:rPr>
        <w:t xml:space="preserve">et tarifaires </w:t>
      </w:r>
      <w:r w:rsidR="00D04088" w:rsidRPr="00AC3753">
        <w:rPr>
          <w:rFonts w:ascii="Avenir Next Demi Bold" w:eastAsia="Times New Roman" w:hAnsi="Avenir Next Demi Bold" w:cs="Arial"/>
          <w:b/>
          <w:bCs/>
          <w:color w:val="FF4906"/>
        </w:rPr>
        <w:t xml:space="preserve">d’occupation de la Salle des fêtes, assorti d’une </w:t>
      </w:r>
      <w:r w:rsidR="00D04088" w:rsidRPr="00AC3753">
        <w:rPr>
          <w:rFonts w:ascii="Avenir Next Demi Bold" w:eastAsia="Times New Roman" w:hAnsi="Avenir Next Demi Bold" w:cs="Arial"/>
          <w:b/>
          <w:bCs/>
          <w:color w:val="FF4906"/>
          <w:u w:val="single"/>
        </w:rPr>
        <w:t>convention-type de mise à disposition</w:t>
      </w:r>
      <w:r w:rsidR="00D04088" w:rsidRPr="00AC3753">
        <w:rPr>
          <w:rFonts w:ascii="Avenir Next Demi Bold" w:eastAsia="Times New Roman" w:hAnsi="Avenir Next Demi Bold" w:cs="Arial"/>
          <w:b/>
          <w:bCs/>
          <w:color w:val="FF4906"/>
        </w:rPr>
        <w:t xml:space="preserve"> à conclure entre le maire et l’occupant</w:t>
      </w:r>
      <w:r w:rsidR="00D04088" w:rsidRPr="007D67BD">
        <w:rPr>
          <w:rFonts w:eastAsia="Times New Roman" w:cs="Arial"/>
        </w:rPr>
        <w:t>, ceci en vue de garantir une bonne</w:t>
      </w:r>
      <w:r w:rsidR="00E939F2">
        <w:rPr>
          <w:rFonts w:eastAsia="Times New Roman" w:cs="Arial"/>
        </w:rPr>
        <w:t xml:space="preserve"> utilisation des </w:t>
      </w:r>
      <w:r w:rsidR="00D864B4">
        <w:rPr>
          <w:rFonts w:eastAsia="Times New Roman" w:cs="Arial"/>
        </w:rPr>
        <w:t>locaux, d’</w:t>
      </w:r>
      <w:r w:rsidR="00D04088" w:rsidRPr="007D67BD">
        <w:rPr>
          <w:rFonts w:eastAsia="Times New Roman" w:cs="Arial"/>
        </w:rPr>
        <w:t>assurer la sécurité</w:t>
      </w:r>
      <w:r w:rsidR="00D864B4">
        <w:rPr>
          <w:rFonts w:eastAsia="Times New Roman" w:cs="Arial"/>
        </w:rPr>
        <w:t xml:space="preserve"> des personnes et des lieux</w:t>
      </w:r>
      <w:r w:rsidR="00B52540">
        <w:rPr>
          <w:rFonts w:eastAsia="Times New Roman" w:cs="Arial"/>
        </w:rPr>
        <w:t>,</w:t>
      </w:r>
      <w:r w:rsidR="00D864B4">
        <w:rPr>
          <w:rFonts w:eastAsia="Times New Roman" w:cs="Arial"/>
        </w:rPr>
        <w:t xml:space="preserve"> et de préserver </w:t>
      </w:r>
      <w:r w:rsidR="00E939F2">
        <w:rPr>
          <w:rFonts w:eastAsia="Times New Roman" w:cs="Arial"/>
        </w:rPr>
        <w:t>les intérêts</w:t>
      </w:r>
      <w:r w:rsidR="00D864B4">
        <w:rPr>
          <w:rFonts w:eastAsia="Times New Roman" w:cs="Arial"/>
        </w:rPr>
        <w:t xml:space="preserve"> de la commune en cas de litige.</w:t>
      </w:r>
    </w:p>
    <w:p w14:paraId="22213B15" w14:textId="77777777" w:rsidR="00A1441A" w:rsidRDefault="00A1441A" w:rsidP="00A1441A">
      <w:pPr>
        <w:pStyle w:val="Destinataire"/>
        <w:contextualSpacing/>
        <w:rPr>
          <w:color w:val="0096FF"/>
          <w:sz w:val="16"/>
          <w:szCs w:val="16"/>
        </w:rPr>
      </w:pPr>
    </w:p>
    <w:p w14:paraId="5581CAD3" w14:textId="77777777" w:rsidR="001D11DD" w:rsidRPr="00047926" w:rsidRDefault="001D11DD" w:rsidP="00A1441A">
      <w:pPr>
        <w:pStyle w:val="Destinataire"/>
        <w:contextualSpacing/>
        <w:rPr>
          <w:color w:val="0096FF"/>
          <w:sz w:val="16"/>
          <w:szCs w:val="16"/>
        </w:rPr>
      </w:pPr>
    </w:p>
    <w:p w14:paraId="7C6E1000" w14:textId="1478F8D1" w:rsidR="00FE494D" w:rsidRPr="00AC3753" w:rsidRDefault="00EC1337" w:rsidP="00A1441A">
      <w:pPr>
        <w:pStyle w:val="Destinataire"/>
        <w:contextualSpacing/>
        <w:rPr>
          <w:rFonts w:ascii="Avenir Next Demi Bold" w:hAnsi="Avenir Next Demi Bold"/>
          <w:b/>
          <w:bCs/>
          <w:color w:val="0096FF"/>
          <w:sz w:val="22"/>
          <w:szCs w:val="22"/>
        </w:rPr>
      </w:pPr>
      <w:r w:rsidRPr="00AC3753">
        <w:rPr>
          <w:rFonts w:ascii="Avenir Next Demi Bold" w:hAnsi="Avenir Next Demi Bold"/>
          <w:b/>
          <w:bCs/>
          <w:color w:val="0096FF"/>
          <w:sz w:val="22"/>
          <w:szCs w:val="22"/>
        </w:rPr>
        <w:t>Commen</w:t>
      </w:r>
      <w:r w:rsidR="00422F04" w:rsidRPr="00AC3753">
        <w:rPr>
          <w:rFonts w:ascii="Avenir Next Demi Bold" w:hAnsi="Avenir Next Demi Bold"/>
          <w:b/>
          <w:bCs/>
          <w:color w:val="0096FF"/>
          <w:sz w:val="22"/>
          <w:szCs w:val="22"/>
        </w:rPr>
        <w:t>t utiliser ce document ?</w:t>
      </w:r>
    </w:p>
    <w:p w14:paraId="16DDCD6A" w14:textId="77777777" w:rsidR="00FA3832" w:rsidRDefault="00FA3832" w:rsidP="00A1441A">
      <w:pPr>
        <w:pStyle w:val="Destinataire"/>
        <w:contextualSpacing/>
        <w:rPr>
          <w:sz w:val="16"/>
          <w:szCs w:val="16"/>
        </w:rPr>
      </w:pPr>
    </w:p>
    <w:p w14:paraId="30A93BAB" w14:textId="77777777" w:rsidR="00D052E6" w:rsidRDefault="00A233F3" w:rsidP="00A233F3">
      <w:pPr>
        <w:pStyle w:val="Destinataire"/>
        <w:contextualSpacing/>
      </w:pPr>
      <w:r>
        <w:t xml:space="preserve">Le </w:t>
      </w:r>
      <w:r w:rsidRPr="00356FE4">
        <w:rPr>
          <w:u w:val="single"/>
        </w:rPr>
        <w:t>conseil municipal</w:t>
      </w:r>
      <w:r>
        <w:t xml:space="preserve"> étant l’organe essentiel de gestion des salles communales, il lui appartient de se prononcer sur les conditions générales d’administration et d’utilisation de la Salle des fêtes, sur les termes de la convention-type de mise à disposition, ainsi que sur les </w:t>
      </w:r>
      <w:r w:rsidRPr="00356FE4">
        <w:rPr>
          <w:bCs/>
        </w:rPr>
        <w:t>tarifs de location</w:t>
      </w:r>
      <w:r w:rsidR="00D052E6">
        <w:t xml:space="preserve"> proposés.</w:t>
      </w:r>
    </w:p>
    <w:p w14:paraId="54A7A40B" w14:textId="77777777" w:rsidR="00D052E6" w:rsidRDefault="00D052E6" w:rsidP="00A233F3">
      <w:pPr>
        <w:pStyle w:val="Destinataire"/>
        <w:contextualSpacing/>
      </w:pPr>
    </w:p>
    <w:p w14:paraId="47077537" w14:textId="6762CEE2" w:rsidR="00FE494D" w:rsidRPr="00D052E6" w:rsidRDefault="00A233F3" w:rsidP="00A233F3">
      <w:pPr>
        <w:pStyle w:val="Destinataire"/>
        <w:contextualSpacing/>
      </w:pPr>
      <w:r w:rsidRPr="00C2183A">
        <w:rPr>
          <w:bCs/>
        </w:rPr>
        <w:t xml:space="preserve">A charge ensuite pour le </w:t>
      </w:r>
      <w:r w:rsidRPr="00C2183A">
        <w:rPr>
          <w:bCs/>
          <w:u w:val="single"/>
        </w:rPr>
        <w:t>maire</w:t>
      </w:r>
      <w:r w:rsidRPr="00C2183A">
        <w:rPr>
          <w:bCs/>
        </w:rPr>
        <w:t xml:space="preserve">, dans le cadre de sa compétence décisionnelle, </w:t>
      </w:r>
      <w:r w:rsidRPr="00AC3753">
        <w:rPr>
          <w:rFonts w:ascii="Avenir Next Demi Bold" w:hAnsi="Avenir Next Demi Bold"/>
          <w:b/>
          <w:bCs/>
        </w:rPr>
        <w:t>d’autoriser ou de refuser</w:t>
      </w:r>
      <w:r w:rsidR="00356FE4" w:rsidRPr="00AC3753">
        <w:rPr>
          <w:rFonts w:ascii="Avenir Next Demi Bold" w:hAnsi="Avenir Next Demi Bold"/>
          <w:b/>
          <w:bCs/>
        </w:rPr>
        <w:t xml:space="preserve"> au cas par cas</w:t>
      </w:r>
      <w:r w:rsidRPr="00AC3753">
        <w:rPr>
          <w:rFonts w:ascii="Avenir Next Demi Bold" w:hAnsi="Avenir Next Demi Bold"/>
          <w:b/>
          <w:bCs/>
        </w:rPr>
        <w:t xml:space="preserve"> la mise à disposition sollicitée</w:t>
      </w:r>
      <w:r w:rsidRPr="00AC3753">
        <w:rPr>
          <w:bCs/>
        </w:rPr>
        <w:t>.</w:t>
      </w:r>
    </w:p>
    <w:p w14:paraId="128429AA" w14:textId="77777777" w:rsidR="00A233F3" w:rsidRPr="00A233F3" w:rsidRDefault="00A233F3" w:rsidP="00A233F3">
      <w:pPr>
        <w:pStyle w:val="Destinataire"/>
        <w:contextualSpacing/>
        <w:rPr>
          <w:sz w:val="16"/>
          <w:szCs w:val="16"/>
        </w:rPr>
      </w:pPr>
    </w:p>
    <w:p w14:paraId="733F15A4" w14:textId="77777777" w:rsidR="00A233F3" w:rsidRPr="00A233F3" w:rsidRDefault="00A233F3" w:rsidP="00A233F3">
      <w:pPr>
        <w:pStyle w:val="Destinataire"/>
        <w:contextualSpacing/>
        <w:rPr>
          <w:color w:val="0096FF"/>
          <w:sz w:val="16"/>
          <w:szCs w:val="16"/>
        </w:rPr>
      </w:pPr>
    </w:p>
    <w:p w14:paraId="0428A08B" w14:textId="1A1FACD4" w:rsidR="00FE494D" w:rsidRPr="00AC3753" w:rsidRDefault="00EC1337" w:rsidP="00A1441A">
      <w:pPr>
        <w:pStyle w:val="Destinataire"/>
        <w:contextualSpacing/>
        <w:rPr>
          <w:rFonts w:ascii="Avenir Next Demi Bold" w:hAnsi="Avenir Next Demi Bold"/>
          <w:b/>
          <w:bCs/>
          <w:color w:val="0096FF"/>
        </w:rPr>
      </w:pPr>
      <w:r w:rsidRPr="00AC3753">
        <w:rPr>
          <w:rFonts w:ascii="Avenir Next Demi Bold" w:hAnsi="Avenir Next Demi Bold"/>
          <w:b/>
          <w:bCs/>
          <w:color w:val="0096FF"/>
          <w:sz w:val="22"/>
          <w:szCs w:val="22"/>
        </w:rPr>
        <w:t>Droi</w:t>
      </w:r>
      <w:r w:rsidR="00422F04" w:rsidRPr="00AC3753">
        <w:rPr>
          <w:rFonts w:ascii="Avenir Next Demi Bold" w:hAnsi="Avenir Next Demi Bold"/>
          <w:b/>
          <w:bCs/>
          <w:color w:val="0096FF"/>
          <w:sz w:val="22"/>
          <w:szCs w:val="22"/>
        </w:rPr>
        <w:t>t applicable</w:t>
      </w:r>
    </w:p>
    <w:p w14:paraId="25A394A4" w14:textId="77777777" w:rsidR="00FE494D" w:rsidRPr="00A1441A" w:rsidRDefault="00FE494D" w:rsidP="00A1441A">
      <w:pPr>
        <w:pStyle w:val="Destinataire"/>
        <w:contextualSpacing/>
        <w:rPr>
          <w:sz w:val="16"/>
          <w:szCs w:val="16"/>
        </w:rPr>
      </w:pPr>
    </w:p>
    <w:p w14:paraId="43268C96" w14:textId="51945162" w:rsidR="00FE494D" w:rsidRPr="00812254" w:rsidRDefault="00EC1337" w:rsidP="00A1441A">
      <w:pPr>
        <w:pStyle w:val="Destinataire"/>
        <w:contextualSpacing/>
        <w:rPr>
          <w:color w:val="0096FF"/>
        </w:rPr>
      </w:pPr>
      <w:r>
        <w:t>Code général des collectivités territoriales :</w:t>
      </w:r>
      <w:r>
        <w:rPr>
          <w:color w:val="0096FF"/>
        </w:rPr>
        <w:t xml:space="preserve"> </w:t>
      </w:r>
      <w:r w:rsidR="008061CD" w:rsidRPr="00970690">
        <w:rPr>
          <w:color w:val="0096FF"/>
        </w:rPr>
        <w:t xml:space="preserve">articles </w:t>
      </w:r>
      <w:hyperlink r:id="rId11" w:history="1">
        <w:r w:rsidR="008061CD" w:rsidRPr="00970690">
          <w:rPr>
            <w:rStyle w:val="Hyperlink0"/>
            <w:lang w:val="en-US"/>
          </w:rPr>
          <w:t>L. 2121-29</w:t>
        </w:r>
      </w:hyperlink>
      <w:r w:rsidR="008061CD" w:rsidRPr="00970690">
        <w:rPr>
          <w:color w:val="0096FF"/>
        </w:rPr>
        <w:t xml:space="preserve"> et </w:t>
      </w:r>
      <w:hyperlink r:id="rId12" w:history="1">
        <w:r w:rsidR="008061CD" w:rsidRPr="00970690">
          <w:rPr>
            <w:rStyle w:val="Hyperlink0"/>
            <w:lang w:val="en-US"/>
          </w:rPr>
          <w:t>L. 2122-21, 1°</w:t>
        </w:r>
      </w:hyperlink>
      <w:r w:rsidR="00B52540" w:rsidRPr="00970690">
        <w:rPr>
          <w:color w:val="0096FF"/>
        </w:rPr>
        <w:t xml:space="preserve"> et </w:t>
      </w:r>
      <w:hyperlink r:id="rId13" w:history="1">
        <w:r w:rsidR="00B52540" w:rsidRPr="00970690">
          <w:rPr>
            <w:rStyle w:val="Lienhypertexte"/>
            <w:color w:val="0096FF"/>
          </w:rPr>
          <w:t>L. 2144-3</w:t>
        </w:r>
      </w:hyperlink>
    </w:p>
    <w:p w14:paraId="46DAB4E7" w14:textId="6A7CC0DB" w:rsidR="008061CD" w:rsidRDefault="008061CD" w:rsidP="008061CD">
      <w:pPr>
        <w:pStyle w:val="Destinataire"/>
        <w:ind w:right="-285"/>
        <w:contextualSpacing/>
      </w:pPr>
      <w:r>
        <w:t xml:space="preserve">Code général de la propriété des personnes publiques : </w:t>
      </w:r>
      <w:r>
        <w:rPr>
          <w:color w:val="0096FF"/>
        </w:rPr>
        <w:t xml:space="preserve">articles </w:t>
      </w:r>
      <w:hyperlink r:id="rId14" w:history="1">
        <w:r>
          <w:rPr>
            <w:rStyle w:val="Hyperlink0"/>
            <w:lang w:val="en-US"/>
          </w:rPr>
          <w:t>L. 2122-1 à L. 2122-3</w:t>
        </w:r>
      </w:hyperlink>
      <w:r>
        <w:rPr>
          <w:color w:val="0096FF"/>
        </w:rPr>
        <w:t xml:space="preserve">, </w:t>
      </w:r>
      <w:hyperlink r:id="rId15" w:history="1">
        <w:r>
          <w:rPr>
            <w:rStyle w:val="Hyperlink0"/>
            <w:lang w:val="en-US"/>
          </w:rPr>
          <w:t>L. 2125-1</w:t>
        </w:r>
      </w:hyperlink>
      <w:r>
        <w:rPr>
          <w:color w:val="0096FF"/>
        </w:rPr>
        <w:t xml:space="preserve"> et  </w:t>
      </w:r>
      <w:hyperlink r:id="rId16" w:history="1">
        <w:r>
          <w:rPr>
            <w:rStyle w:val="Hyperlink0"/>
            <w:lang w:val="en-US"/>
          </w:rPr>
          <w:t>L. 2125-3</w:t>
        </w:r>
      </w:hyperlink>
    </w:p>
    <w:p w14:paraId="2EA2E855" w14:textId="69E33634" w:rsidR="00FE494D" w:rsidRDefault="00FE494D" w:rsidP="00A1441A">
      <w:pPr>
        <w:pStyle w:val="Destinataire"/>
        <w:contextualSpacing/>
      </w:pPr>
    </w:p>
    <w:sectPr w:rsidR="00FE494D" w:rsidSect="00812254">
      <w:footerReference w:type="default" r:id="rId17"/>
      <w:pgSz w:w="11906" w:h="16838"/>
      <w:pgMar w:top="440" w:right="1134" w:bottom="720" w:left="1134" w:header="34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7A8EF" w14:textId="77777777" w:rsidR="006E148B" w:rsidRDefault="006E148B">
      <w:r>
        <w:separator/>
      </w:r>
    </w:p>
  </w:endnote>
  <w:endnote w:type="continuationSeparator" w:id="0">
    <w:p w14:paraId="11B0D488" w14:textId="77777777" w:rsidR="006E148B" w:rsidRDefault="006E1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venir Next">
    <w:altName w:val="Corbel"/>
    <w:charset w:val="00"/>
    <w:family w:val="auto"/>
    <w:pitch w:val="variable"/>
    <w:sig w:usb0="00000001"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Demi Bold">
    <w:altName w:val="Trebuchet MS"/>
    <w:charset w:val="00"/>
    <w:family w:val="auto"/>
    <w:pitch w:val="variable"/>
    <w:sig w:usb0="00000001"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4B72D" w14:textId="2AC2835F" w:rsidR="00812254" w:rsidRDefault="00812254" w:rsidP="00812254">
    <w:pPr>
      <w:pStyle w:val="Pieddepage"/>
      <w:jc w:val="center"/>
      <w:rPr>
        <w:rFonts w:ascii="Avenir Next" w:hAnsi="Avenir Next" w:cs="Avenir Next"/>
        <w:color w:val="000000"/>
        <w:sz w:val="16"/>
        <w:szCs w:val="16"/>
      </w:rPr>
    </w:pPr>
    <w:r w:rsidRPr="00812254">
      <w:rPr>
        <w:rFonts w:ascii="Avenir Next" w:hAnsi="Avenir Next" w:cs="Avenir Next"/>
        <w:color w:val="000000"/>
        <w:sz w:val="16"/>
        <w:szCs w:val="16"/>
      </w:rPr>
      <w:t>- ©Vos Courriers Juridiques -</w:t>
    </w:r>
  </w:p>
  <w:p w14:paraId="1CD67D8F" w14:textId="487670A4" w:rsidR="00AC3753" w:rsidRPr="00AC3753" w:rsidRDefault="006E148B" w:rsidP="00AC3753">
    <w:pPr>
      <w:pStyle w:val="Pieddepage"/>
      <w:tabs>
        <w:tab w:val="clear" w:pos="9072"/>
        <w:tab w:val="right" w:pos="9638"/>
      </w:tabs>
      <w:ind w:right="-1"/>
      <w:jc w:val="center"/>
      <w:rPr>
        <w:rFonts w:ascii="Avenir Next" w:hAnsi="Avenir Next" w:cs="Avenir Next"/>
        <w:color w:val="0096FF"/>
        <w:sz w:val="16"/>
        <w:szCs w:val="16"/>
        <w:u w:val="single"/>
      </w:rPr>
    </w:pPr>
    <w:hyperlink r:id="rId1" w:history="1">
      <w:r w:rsidR="00AC3753" w:rsidRPr="00D10280">
        <w:rPr>
          <w:rStyle w:val="Lienhypertexte"/>
          <w:rFonts w:ascii="Avenir Next" w:hAnsi="Avenir Next" w:cs="Avenir Next"/>
          <w:color w:val="0096FF"/>
          <w:sz w:val="16"/>
          <w:szCs w:val="16"/>
        </w:rPr>
        <w:t>www.vos-courriers-juridiques.com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B695" w14:textId="77777777" w:rsidR="006E148B" w:rsidRDefault="006E148B">
      <w:r>
        <w:separator/>
      </w:r>
    </w:p>
  </w:footnote>
  <w:footnote w:type="continuationSeparator" w:id="0">
    <w:p w14:paraId="615DB0FE" w14:textId="77777777" w:rsidR="006E148B" w:rsidRDefault="006E1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8FD"/>
    <w:multiLevelType w:val="hybridMultilevel"/>
    <w:tmpl w:val="1F9ABFFE"/>
    <w:styleLink w:val="Puce"/>
    <w:lvl w:ilvl="0" w:tplc="27040998">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6DE2D104">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1556F60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2B74671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3FCA84B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FA868C84">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0E2AAAFC">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1E0ADAF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5C8604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06F92A17"/>
    <w:multiLevelType w:val="hybridMultilevel"/>
    <w:tmpl w:val="F8A8E3F8"/>
    <w:lvl w:ilvl="0" w:tplc="3E32777E">
      <w:start w:val="1"/>
      <w:numFmt w:val="bullet"/>
      <w:lvlText w:val=""/>
      <w:lvlJc w:val="left"/>
      <w:pPr>
        <w:ind w:left="721" w:hanging="360"/>
      </w:pPr>
      <w:rPr>
        <w:rFonts w:ascii="Wingdings" w:hAnsi="Wingdings" w:hint="default"/>
        <w:color w:val="FF4E09"/>
        <w:sz w:val="22"/>
        <w:szCs w:val="22"/>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2">
    <w:nsid w:val="12895656"/>
    <w:multiLevelType w:val="hybridMultilevel"/>
    <w:tmpl w:val="E97272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AF331A"/>
    <w:multiLevelType w:val="hybridMultilevel"/>
    <w:tmpl w:val="32DCA57A"/>
    <w:lvl w:ilvl="0" w:tplc="3E32777E">
      <w:start w:val="1"/>
      <w:numFmt w:val="bullet"/>
      <w:lvlText w:val=""/>
      <w:lvlJc w:val="left"/>
      <w:pPr>
        <w:ind w:left="720" w:hanging="360"/>
      </w:pPr>
      <w:rPr>
        <w:rFonts w:ascii="Wingdings" w:hAnsi="Wingdings" w:hint="default"/>
        <w:color w:val="FF4E09"/>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0E6510"/>
    <w:multiLevelType w:val="hybridMultilevel"/>
    <w:tmpl w:val="1F9ABFFE"/>
    <w:numStyleLink w:val="Puce"/>
  </w:abstractNum>
  <w:abstractNum w:abstractNumId="5">
    <w:nsid w:val="39081A69"/>
    <w:multiLevelType w:val="hybridMultilevel"/>
    <w:tmpl w:val="716817A2"/>
    <w:lvl w:ilvl="0" w:tplc="E5F80C2E">
      <w:start w:val="22"/>
      <w:numFmt w:val="bullet"/>
      <w:lvlText w:val=""/>
      <w:lvlJc w:val="left"/>
      <w:pPr>
        <w:ind w:left="720" w:hanging="360"/>
      </w:pPr>
      <w:rPr>
        <w:rFonts w:ascii="Wingdings" w:eastAsia="Times New Roman" w:hAnsi="Wingdings" w:cs="Arial"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EC5E38"/>
    <w:multiLevelType w:val="hybridMultilevel"/>
    <w:tmpl w:val="7ECA8B58"/>
    <w:lvl w:ilvl="0" w:tplc="3E32777E">
      <w:start w:val="1"/>
      <w:numFmt w:val="bullet"/>
      <w:lvlText w:val=""/>
      <w:lvlJc w:val="left"/>
      <w:pPr>
        <w:ind w:left="720" w:hanging="360"/>
      </w:pPr>
      <w:rPr>
        <w:rFonts w:ascii="Wingdings" w:hAnsi="Wingdings" w:hint="default"/>
        <w:color w:val="FF4E09"/>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8C1390"/>
    <w:multiLevelType w:val="hybridMultilevel"/>
    <w:tmpl w:val="74045B38"/>
    <w:lvl w:ilvl="0" w:tplc="FA5E85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lvl w:ilvl="0" w:tplc="8CD8DC8E">
        <w:start w:val="1"/>
        <w:numFmt w:val="bullet"/>
        <w:lvlText w:val="★"/>
        <w:lvlJc w:val="left"/>
        <w:pPr>
          <w:ind w:left="283" w:hanging="283"/>
        </w:pPr>
        <w:rPr>
          <w:rFonts w:hAnsi="Arial Unicode MS"/>
          <w:b/>
          <w:bCs/>
          <w:caps w:val="0"/>
          <w:smallCaps w:val="0"/>
          <w:strike w:val="0"/>
          <w:dstrike w:val="0"/>
          <w:outline w:val="0"/>
          <w:emboss w:val="0"/>
          <w:imprint w:val="0"/>
          <w:color w:val="FF4700"/>
          <w:spacing w:val="0"/>
          <w:w w:val="100"/>
          <w:kern w:val="0"/>
          <w:position w:val="2"/>
          <w:sz w:val="22"/>
          <w:szCs w:val="22"/>
          <w:highlight w:val="none"/>
          <w:vertAlign w:val="baseline"/>
        </w:rPr>
      </w:lvl>
    </w:lvlOverride>
    <w:lvlOverride w:ilvl="1">
      <w:lvl w:ilvl="1" w:tplc="E472641A">
        <w:start w:val="1"/>
        <w:numFmt w:val="bullet"/>
        <w:lvlText w:val="•"/>
        <w:lvlJc w:val="left"/>
        <w:pPr>
          <w:ind w:left="344" w:hanging="164"/>
        </w:pPr>
        <w:rPr>
          <w:rFonts w:hAnsi="Arial Unicode MS"/>
          <w:b/>
          <w:bCs/>
          <w:caps w:val="0"/>
          <w:smallCaps w:val="0"/>
          <w:strike w:val="0"/>
          <w:dstrike w:val="0"/>
          <w:outline w:val="0"/>
          <w:emboss w:val="0"/>
          <w:imprint w:val="0"/>
          <w:color w:val="FF4700"/>
          <w:spacing w:val="0"/>
          <w:w w:val="100"/>
          <w:kern w:val="0"/>
          <w:position w:val="-2"/>
          <w:highlight w:val="none"/>
          <w:vertAlign w:val="baseline"/>
        </w:rPr>
      </w:lvl>
    </w:lvlOverride>
    <w:lvlOverride w:ilvl="2">
      <w:lvl w:ilvl="2" w:tplc="B31828BA">
        <w:start w:val="1"/>
        <w:numFmt w:val="bullet"/>
        <w:lvlText w:val="•"/>
        <w:lvlJc w:val="left"/>
        <w:pPr>
          <w:ind w:left="524" w:hanging="164"/>
        </w:pPr>
        <w:rPr>
          <w:rFonts w:hAnsi="Arial Unicode MS"/>
          <w:b/>
          <w:bCs/>
          <w:caps w:val="0"/>
          <w:smallCaps w:val="0"/>
          <w:strike w:val="0"/>
          <w:dstrike w:val="0"/>
          <w:outline w:val="0"/>
          <w:emboss w:val="0"/>
          <w:imprint w:val="0"/>
          <w:color w:val="FF4700"/>
          <w:spacing w:val="0"/>
          <w:w w:val="100"/>
          <w:kern w:val="0"/>
          <w:position w:val="-2"/>
          <w:highlight w:val="none"/>
          <w:vertAlign w:val="baseline"/>
        </w:rPr>
      </w:lvl>
    </w:lvlOverride>
    <w:lvlOverride w:ilvl="3">
      <w:lvl w:ilvl="3" w:tplc="DA72F8E6">
        <w:start w:val="1"/>
        <w:numFmt w:val="bullet"/>
        <w:lvlText w:val="•"/>
        <w:lvlJc w:val="left"/>
        <w:pPr>
          <w:ind w:left="704" w:hanging="164"/>
        </w:pPr>
        <w:rPr>
          <w:rFonts w:hAnsi="Arial Unicode MS"/>
          <w:b/>
          <w:bCs/>
          <w:caps w:val="0"/>
          <w:smallCaps w:val="0"/>
          <w:strike w:val="0"/>
          <w:dstrike w:val="0"/>
          <w:outline w:val="0"/>
          <w:emboss w:val="0"/>
          <w:imprint w:val="0"/>
          <w:color w:val="FF4700"/>
          <w:spacing w:val="0"/>
          <w:w w:val="100"/>
          <w:kern w:val="0"/>
          <w:position w:val="-2"/>
          <w:highlight w:val="none"/>
          <w:vertAlign w:val="baseline"/>
        </w:rPr>
      </w:lvl>
    </w:lvlOverride>
    <w:lvlOverride w:ilvl="4">
      <w:lvl w:ilvl="4" w:tplc="17B84A22">
        <w:start w:val="1"/>
        <w:numFmt w:val="bullet"/>
        <w:lvlText w:val="•"/>
        <w:lvlJc w:val="left"/>
        <w:pPr>
          <w:ind w:left="884" w:hanging="164"/>
        </w:pPr>
        <w:rPr>
          <w:rFonts w:hAnsi="Arial Unicode MS"/>
          <w:b/>
          <w:bCs/>
          <w:caps w:val="0"/>
          <w:smallCaps w:val="0"/>
          <w:strike w:val="0"/>
          <w:dstrike w:val="0"/>
          <w:outline w:val="0"/>
          <w:emboss w:val="0"/>
          <w:imprint w:val="0"/>
          <w:color w:val="FF4700"/>
          <w:spacing w:val="0"/>
          <w:w w:val="100"/>
          <w:kern w:val="0"/>
          <w:position w:val="-2"/>
          <w:highlight w:val="none"/>
          <w:vertAlign w:val="baseline"/>
        </w:rPr>
      </w:lvl>
    </w:lvlOverride>
    <w:lvlOverride w:ilvl="5">
      <w:lvl w:ilvl="5" w:tplc="4F1448EE">
        <w:start w:val="1"/>
        <w:numFmt w:val="bullet"/>
        <w:lvlText w:val="•"/>
        <w:lvlJc w:val="left"/>
        <w:pPr>
          <w:ind w:left="1064" w:hanging="164"/>
        </w:pPr>
        <w:rPr>
          <w:rFonts w:hAnsi="Arial Unicode MS"/>
          <w:b/>
          <w:bCs/>
          <w:caps w:val="0"/>
          <w:smallCaps w:val="0"/>
          <w:strike w:val="0"/>
          <w:dstrike w:val="0"/>
          <w:outline w:val="0"/>
          <w:emboss w:val="0"/>
          <w:imprint w:val="0"/>
          <w:color w:val="FF4700"/>
          <w:spacing w:val="0"/>
          <w:w w:val="100"/>
          <w:kern w:val="0"/>
          <w:position w:val="-2"/>
          <w:highlight w:val="none"/>
          <w:vertAlign w:val="baseline"/>
        </w:rPr>
      </w:lvl>
    </w:lvlOverride>
    <w:lvlOverride w:ilvl="6">
      <w:lvl w:ilvl="6" w:tplc="61DA6F02">
        <w:start w:val="1"/>
        <w:numFmt w:val="bullet"/>
        <w:lvlText w:val="•"/>
        <w:lvlJc w:val="left"/>
        <w:pPr>
          <w:ind w:left="1244" w:hanging="164"/>
        </w:pPr>
        <w:rPr>
          <w:rFonts w:hAnsi="Arial Unicode MS"/>
          <w:b/>
          <w:bCs/>
          <w:caps w:val="0"/>
          <w:smallCaps w:val="0"/>
          <w:strike w:val="0"/>
          <w:dstrike w:val="0"/>
          <w:outline w:val="0"/>
          <w:emboss w:val="0"/>
          <w:imprint w:val="0"/>
          <w:color w:val="FF4700"/>
          <w:spacing w:val="0"/>
          <w:w w:val="100"/>
          <w:kern w:val="0"/>
          <w:position w:val="-2"/>
          <w:highlight w:val="none"/>
          <w:vertAlign w:val="baseline"/>
        </w:rPr>
      </w:lvl>
    </w:lvlOverride>
    <w:lvlOverride w:ilvl="7">
      <w:lvl w:ilvl="7" w:tplc="1108BE28">
        <w:start w:val="1"/>
        <w:numFmt w:val="bullet"/>
        <w:lvlText w:val="•"/>
        <w:lvlJc w:val="left"/>
        <w:pPr>
          <w:ind w:left="1424" w:hanging="164"/>
        </w:pPr>
        <w:rPr>
          <w:rFonts w:hAnsi="Arial Unicode MS"/>
          <w:b/>
          <w:bCs/>
          <w:caps w:val="0"/>
          <w:smallCaps w:val="0"/>
          <w:strike w:val="0"/>
          <w:dstrike w:val="0"/>
          <w:outline w:val="0"/>
          <w:emboss w:val="0"/>
          <w:imprint w:val="0"/>
          <w:color w:val="FF4700"/>
          <w:spacing w:val="0"/>
          <w:w w:val="100"/>
          <w:kern w:val="0"/>
          <w:position w:val="-2"/>
          <w:highlight w:val="none"/>
          <w:vertAlign w:val="baseline"/>
        </w:rPr>
      </w:lvl>
    </w:lvlOverride>
    <w:lvlOverride w:ilvl="8">
      <w:lvl w:ilvl="8" w:tplc="99EC6874">
        <w:start w:val="1"/>
        <w:numFmt w:val="bullet"/>
        <w:lvlText w:val="•"/>
        <w:lvlJc w:val="left"/>
        <w:pPr>
          <w:ind w:left="1604" w:hanging="164"/>
        </w:pPr>
        <w:rPr>
          <w:rFonts w:hAnsi="Arial Unicode MS"/>
          <w:b/>
          <w:bCs/>
          <w:caps w:val="0"/>
          <w:smallCaps w:val="0"/>
          <w:strike w:val="0"/>
          <w:dstrike w:val="0"/>
          <w:outline w:val="0"/>
          <w:emboss w:val="0"/>
          <w:imprint w:val="0"/>
          <w:color w:val="FF4700"/>
          <w:spacing w:val="0"/>
          <w:w w:val="100"/>
          <w:kern w:val="0"/>
          <w:position w:val="-2"/>
          <w:highlight w:val="none"/>
          <w:vertAlign w:val="baseline"/>
        </w:rPr>
      </w:lvl>
    </w:lvlOverride>
  </w:num>
  <w:num w:numId="4">
    <w:abstractNumId w:val="2"/>
  </w:num>
  <w:num w:numId="5">
    <w:abstractNumId w:val="5"/>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4D"/>
    <w:rsid w:val="00047926"/>
    <w:rsid w:val="000B6A5C"/>
    <w:rsid w:val="000F1EEF"/>
    <w:rsid w:val="001172AC"/>
    <w:rsid w:val="00137466"/>
    <w:rsid w:val="00171262"/>
    <w:rsid w:val="00180135"/>
    <w:rsid w:val="001A00FC"/>
    <w:rsid w:val="001D11DD"/>
    <w:rsid w:val="00272415"/>
    <w:rsid w:val="002B2FB7"/>
    <w:rsid w:val="002E4A26"/>
    <w:rsid w:val="00300294"/>
    <w:rsid w:val="003132AF"/>
    <w:rsid w:val="003256BD"/>
    <w:rsid w:val="00356FE4"/>
    <w:rsid w:val="003D5440"/>
    <w:rsid w:val="00422F04"/>
    <w:rsid w:val="00424E0C"/>
    <w:rsid w:val="00444F74"/>
    <w:rsid w:val="00450548"/>
    <w:rsid w:val="00485DAD"/>
    <w:rsid w:val="005222D0"/>
    <w:rsid w:val="005714EA"/>
    <w:rsid w:val="0057594C"/>
    <w:rsid w:val="00585397"/>
    <w:rsid w:val="005A315E"/>
    <w:rsid w:val="005D608B"/>
    <w:rsid w:val="006A3C0E"/>
    <w:rsid w:val="006E148B"/>
    <w:rsid w:val="007014E6"/>
    <w:rsid w:val="00712527"/>
    <w:rsid w:val="00753870"/>
    <w:rsid w:val="00754DA1"/>
    <w:rsid w:val="007D67BD"/>
    <w:rsid w:val="008061CD"/>
    <w:rsid w:val="00812254"/>
    <w:rsid w:val="00834705"/>
    <w:rsid w:val="008B3CE4"/>
    <w:rsid w:val="00902943"/>
    <w:rsid w:val="00920562"/>
    <w:rsid w:val="0096794B"/>
    <w:rsid w:val="00970690"/>
    <w:rsid w:val="00997B3A"/>
    <w:rsid w:val="009B4A1F"/>
    <w:rsid w:val="009D4C15"/>
    <w:rsid w:val="009E388A"/>
    <w:rsid w:val="00A030D2"/>
    <w:rsid w:val="00A07FBA"/>
    <w:rsid w:val="00A1441A"/>
    <w:rsid w:val="00A233F3"/>
    <w:rsid w:val="00A27B34"/>
    <w:rsid w:val="00A66D34"/>
    <w:rsid w:val="00A73F3E"/>
    <w:rsid w:val="00A94553"/>
    <w:rsid w:val="00AC3753"/>
    <w:rsid w:val="00AD40E9"/>
    <w:rsid w:val="00AD6A65"/>
    <w:rsid w:val="00AF2F70"/>
    <w:rsid w:val="00B22659"/>
    <w:rsid w:val="00B52540"/>
    <w:rsid w:val="00BB0921"/>
    <w:rsid w:val="00C164A1"/>
    <w:rsid w:val="00C2183A"/>
    <w:rsid w:val="00C40FDF"/>
    <w:rsid w:val="00C5123A"/>
    <w:rsid w:val="00C62164"/>
    <w:rsid w:val="00C924BA"/>
    <w:rsid w:val="00CA4021"/>
    <w:rsid w:val="00CB31E7"/>
    <w:rsid w:val="00CD46BE"/>
    <w:rsid w:val="00D04088"/>
    <w:rsid w:val="00D052E6"/>
    <w:rsid w:val="00D864B4"/>
    <w:rsid w:val="00DF1F59"/>
    <w:rsid w:val="00E022AE"/>
    <w:rsid w:val="00E24426"/>
    <w:rsid w:val="00E3067D"/>
    <w:rsid w:val="00E939F2"/>
    <w:rsid w:val="00EC1337"/>
    <w:rsid w:val="00F37F9F"/>
    <w:rsid w:val="00F45120"/>
    <w:rsid w:val="00F52C69"/>
    <w:rsid w:val="00F55489"/>
    <w:rsid w:val="00F556BB"/>
    <w:rsid w:val="00F67093"/>
    <w:rsid w:val="00F8545F"/>
    <w:rsid w:val="00FA3832"/>
    <w:rsid w:val="00FA42B6"/>
    <w:rsid w:val="00FB47A1"/>
    <w:rsid w:val="00FE49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stinataire">
    <w:name w:val="Destinataire"/>
    <w:pPr>
      <w:jc w:val="both"/>
    </w:pPr>
    <w:rPr>
      <w:rFonts w:ascii="Avenir Next" w:hAnsi="Avenir Next" w:cs="Arial Unicode MS"/>
      <w:color w:val="000000"/>
    </w:rPr>
  </w:style>
  <w:style w:type="paragraph" w:styleId="En-tte">
    <w:name w:val="header"/>
    <w:next w:val="Corps"/>
    <w:pPr>
      <w:keepNext/>
      <w:outlineLvl w:val="0"/>
    </w:pPr>
    <w:rPr>
      <w:rFonts w:ascii="Helvetica" w:hAnsi="Helvetica" w:cs="Arial Unicode MS"/>
      <w:b/>
      <w:bCs/>
      <w:color w:val="000000"/>
      <w:sz w:val="36"/>
      <w:szCs w:val="36"/>
    </w:rPr>
  </w:style>
  <w:style w:type="paragraph" w:customStyle="1" w:styleId="Corps">
    <w:name w:val="Corps"/>
    <w:rPr>
      <w:rFonts w:ascii="Helvetica" w:hAnsi="Helvetica" w:cs="Arial Unicode MS"/>
      <w:color w:val="000000"/>
      <w:sz w:val="22"/>
      <w:szCs w:val="22"/>
    </w:rPr>
  </w:style>
  <w:style w:type="numbering" w:customStyle="1" w:styleId="Puce">
    <w:name w:val="Puce"/>
    <w:pPr>
      <w:numPr>
        <w:numId w:val="1"/>
      </w:numPr>
    </w:pPr>
  </w:style>
  <w:style w:type="paragraph" w:customStyle="1" w:styleId="Informationssurlexpditeur">
    <w:name w:val="Informations sur l’expéditeur"/>
    <w:pPr>
      <w:spacing w:line="288" w:lineRule="auto"/>
      <w:jc w:val="center"/>
    </w:pPr>
    <w:rPr>
      <w:rFonts w:ascii="Avenir Next" w:eastAsia="Avenir Next" w:hAnsi="Avenir Next" w:cs="Avenir Next"/>
      <w:color w:val="594B3A"/>
      <w:sz w:val="18"/>
      <w:szCs w:val="18"/>
    </w:rPr>
  </w:style>
  <w:style w:type="character" w:customStyle="1" w:styleId="Lien">
    <w:name w:val="Lien"/>
    <w:rPr>
      <w:u w:val="single"/>
    </w:rPr>
  </w:style>
  <w:style w:type="character" w:customStyle="1" w:styleId="Hyperlink0">
    <w:name w:val="Hyperlink.0"/>
    <w:basedOn w:val="Lien"/>
    <w:rPr>
      <w:color w:val="0096FF"/>
      <w:u w:val="single"/>
    </w:rPr>
  </w:style>
  <w:style w:type="character" w:customStyle="1" w:styleId="Hyperlink1">
    <w:name w:val="Hyperlink.1"/>
    <w:basedOn w:val="Lien"/>
    <w:rPr>
      <w:b w:val="0"/>
      <w:bCs w:val="0"/>
      <w:color w:val="0096FF"/>
      <w:u w:val="single"/>
    </w:rPr>
  </w:style>
  <w:style w:type="paragraph" w:styleId="Pieddepage">
    <w:name w:val="footer"/>
    <w:basedOn w:val="Normal"/>
    <w:link w:val="PieddepageCar"/>
    <w:uiPriority w:val="99"/>
    <w:unhideWhenUsed/>
    <w:rsid w:val="00BB0921"/>
    <w:pPr>
      <w:tabs>
        <w:tab w:val="center" w:pos="4536"/>
        <w:tab w:val="right" w:pos="9072"/>
      </w:tabs>
    </w:pPr>
  </w:style>
  <w:style w:type="character" w:customStyle="1" w:styleId="PieddepageCar">
    <w:name w:val="Pied de page Car"/>
    <w:basedOn w:val="Policepardfaut"/>
    <w:link w:val="Pieddepage"/>
    <w:uiPriority w:val="99"/>
    <w:rsid w:val="00BB0921"/>
    <w:rPr>
      <w:sz w:val="24"/>
      <w:szCs w:val="24"/>
      <w:lang w:val="en-US" w:eastAsia="en-US"/>
    </w:rPr>
  </w:style>
  <w:style w:type="paragraph" w:styleId="Paragraphedeliste">
    <w:name w:val="List Paragraph"/>
    <w:basedOn w:val="Normal"/>
    <w:uiPriority w:val="34"/>
    <w:qFormat/>
    <w:rsid w:val="00AF2F7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fr-FR"/>
    </w:rPr>
  </w:style>
  <w:style w:type="character" w:styleId="Lienhypertextesuivivisit">
    <w:name w:val="FollowedHyperlink"/>
    <w:basedOn w:val="Policepardfaut"/>
    <w:uiPriority w:val="99"/>
    <w:semiHidden/>
    <w:unhideWhenUsed/>
    <w:rsid w:val="00970690"/>
    <w:rPr>
      <w:color w:val="FF00FF" w:themeColor="followedHyperlink"/>
      <w:u w:val="single"/>
    </w:rPr>
  </w:style>
  <w:style w:type="paragraph" w:styleId="Textedebulles">
    <w:name w:val="Balloon Text"/>
    <w:basedOn w:val="Normal"/>
    <w:link w:val="TextedebullesCar"/>
    <w:uiPriority w:val="99"/>
    <w:semiHidden/>
    <w:unhideWhenUsed/>
    <w:rsid w:val="005222D0"/>
    <w:rPr>
      <w:rFonts w:ascii="Tahoma" w:hAnsi="Tahoma" w:cs="Tahoma"/>
      <w:sz w:val="16"/>
      <w:szCs w:val="16"/>
    </w:rPr>
  </w:style>
  <w:style w:type="character" w:customStyle="1" w:styleId="TextedebullesCar">
    <w:name w:val="Texte de bulles Car"/>
    <w:basedOn w:val="Policepardfaut"/>
    <w:link w:val="Textedebulles"/>
    <w:uiPriority w:val="99"/>
    <w:semiHidden/>
    <w:rsid w:val="005222D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stinataire">
    <w:name w:val="Destinataire"/>
    <w:pPr>
      <w:jc w:val="both"/>
    </w:pPr>
    <w:rPr>
      <w:rFonts w:ascii="Avenir Next" w:hAnsi="Avenir Next" w:cs="Arial Unicode MS"/>
      <w:color w:val="000000"/>
    </w:rPr>
  </w:style>
  <w:style w:type="paragraph" w:styleId="En-tte">
    <w:name w:val="header"/>
    <w:next w:val="Corps"/>
    <w:pPr>
      <w:keepNext/>
      <w:outlineLvl w:val="0"/>
    </w:pPr>
    <w:rPr>
      <w:rFonts w:ascii="Helvetica" w:hAnsi="Helvetica" w:cs="Arial Unicode MS"/>
      <w:b/>
      <w:bCs/>
      <w:color w:val="000000"/>
      <w:sz w:val="36"/>
      <w:szCs w:val="36"/>
    </w:rPr>
  </w:style>
  <w:style w:type="paragraph" w:customStyle="1" w:styleId="Corps">
    <w:name w:val="Corps"/>
    <w:rPr>
      <w:rFonts w:ascii="Helvetica" w:hAnsi="Helvetica" w:cs="Arial Unicode MS"/>
      <w:color w:val="000000"/>
      <w:sz w:val="22"/>
      <w:szCs w:val="22"/>
    </w:rPr>
  </w:style>
  <w:style w:type="numbering" w:customStyle="1" w:styleId="Puce">
    <w:name w:val="Puce"/>
    <w:pPr>
      <w:numPr>
        <w:numId w:val="1"/>
      </w:numPr>
    </w:pPr>
  </w:style>
  <w:style w:type="paragraph" w:customStyle="1" w:styleId="Informationssurlexpditeur">
    <w:name w:val="Informations sur l’expéditeur"/>
    <w:pPr>
      <w:spacing w:line="288" w:lineRule="auto"/>
      <w:jc w:val="center"/>
    </w:pPr>
    <w:rPr>
      <w:rFonts w:ascii="Avenir Next" w:eastAsia="Avenir Next" w:hAnsi="Avenir Next" w:cs="Avenir Next"/>
      <w:color w:val="594B3A"/>
      <w:sz w:val="18"/>
      <w:szCs w:val="18"/>
    </w:rPr>
  </w:style>
  <w:style w:type="character" w:customStyle="1" w:styleId="Lien">
    <w:name w:val="Lien"/>
    <w:rPr>
      <w:u w:val="single"/>
    </w:rPr>
  </w:style>
  <w:style w:type="character" w:customStyle="1" w:styleId="Hyperlink0">
    <w:name w:val="Hyperlink.0"/>
    <w:basedOn w:val="Lien"/>
    <w:rPr>
      <w:color w:val="0096FF"/>
      <w:u w:val="single"/>
    </w:rPr>
  </w:style>
  <w:style w:type="character" w:customStyle="1" w:styleId="Hyperlink1">
    <w:name w:val="Hyperlink.1"/>
    <w:basedOn w:val="Lien"/>
    <w:rPr>
      <w:b w:val="0"/>
      <w:bCs w:val="0"/>
      <w:color w:val="0096FF"/>
      <w:u w:val="single"/>
    </w:rPr>
  </w:style>
  <w:style w:type="paragraph" w:styleId="Pieddepage">
    <w:name w:val="footer"/>
    <w:basedOn w:val="Normal"/>
    <w:link w:val="PieddepageCar"/>
    <w:uiPriority w:val="99"/>
    <w:unhideWhenUsed/>
    <w:rsid w:val="00BB0921"/>
    <w:pPr>
      <w:tabs>
        <w:tab w:val="center" w:pos="4536"/>
        <w:tab w:val="right" w:pos="9072"/>
      </w:tabs>
    </w:pPr>
  </w:style>
  <w:style w:type="character" w:customStyle="1" w:styleId="PieddepageCar">
    <w:name w:val="Pied de page Car"/>
    <w:basedOn w:val="Policepardfaut"/>
    <w:link w:val="Pieddepage"/>
    <w:uiPriority w:val="99"/>
    <w:rsid w:val="00BB0921"/>
    <w:rPr>
      <w:sz w:val="24"/>
      <w:szCs w:val="24"/>
      <w:lang w:val="en-US" w:eastAsia="en-US"/>
    </w:rPr>
  </w:style>
  <w:style w:type="paragraph" w:styleId="Paragraphedeliste">
    <w:name w:val="List Paragraph"/>
    <w:basedOn w:val="Normal"/>
    <w:uiPriority w:val="34"/>
    <w:qFormat/>
    <w:rsid w:val="00AF2F7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fr-FR"/>
    </w:rPr>
  </w:style>
  <w:style w:type="character" w:styleId="Lienhypertextesuivivisit">
    <w:name w:val="FollowedHyperlink"/>
    <w:basedOn w:val="Policepardfaut"/>
    <w:uiPriority w:val="99"/>
    <w:semiHidden/>
    <w:unhideWhenUsed/>
    <w:rsid w:val="00970690"/>
    <w:rPr>
      <w:color w:val="FF00FF" w:themeColor="followedHyperlink"/>
      <w:u w:val="single"/>
    </w:rPr>
  </w:style>
  <w:style w:type="paragraph" w:styleId="Textedebulles">
    <w:name w:val="Balloon Text"/>
    <w:basedOn w:val="Normal"/>
    <w:link w:val="TextedebullesCar"/>
    <w:uiPriority w:val="99"/>
    <w:semiHidden/>
    <w:unhideWhenUsed/>
    <w:rsid w:val="005222D0"/>
    <w:rPr>
      <w:rFonts w:ascii="Tahoma" w:hAnsi="Tahoma" w:cs="Tahoma"/>
      <w:sz w:val="16"/>
      <w:szCs w:val="16"/>
    </w:rPr>
  </w:style>
  <w:style w:type="character" w:customStyle="1" w:styleId="TextedebullesCar">
    <w:name w:val="Texte de bulles Car"/>
    <w:basedOn w:val="Policepardfaut"/>
    <w:link w:val="Textedebulles"/>
    <w:uiPriority w:val="99"/>
    <w:semiHidden/>
    <w:rsid w:val="005222D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vos-courriers-juridiques.com/" TargetMode="External"/><Relationship Id="rId13" Type="http://schemas.openxmlformats.org/officeDocument/2006/relationships/hyperlink" Target="https://www.legifrance.gouv.fr/affichCodeArticle.do?idArticle=LEGIARTI000033023248&amp;cidTexte=LEGITEXT000006070633&amp;dateTexte=20170925&amp;oldAction=rechCodeArticle&amp;fastReqId=1591904134&amp;nbResultRech=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gifrance.gouv.fr/affichCodeArticle.do?idArticle=LEGIARTI000006389951&amp;cidTexte=LEGITEXT000006070633&amp;dateTexte=20160402&amp;oldAction=rechCodeArticle&amp;fastReqId=1083527186&amp;nbResultRech=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egifrance.gouv.fr/affichCodeArticle.do;jsessionid=9FDA7E258DC7EAF793FC793FABBADFD9.tpdila17v_1?idArticle=LEGIARTI000006361274&amp;cidTexte=LEGITEXT000006070299&amp;dateTexte=20160402&amp;categorieLien=id&amp;oldAction=rechCodeArtic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france.gouv.fr/affichCodeArticle.do?idArticle=LEGIARTI000006389895&amp;cidTexte=LEGITEXT000006070633&amp;dateTexte=20160418&amp;oldAction=rechCodeArticle&amp;fastReqId=1655371587&amp;nbResultRech=1" TargetMode="External"/><Relationship Id="rId5" Type="http://schemas.openxmlformats.org/officeDocument/2006/relationships/webSettings" Target="webSettings.xml"/><Relationship Id="rId15" Type="http://schemas.openxmlformats.org/officeDocument/2006/relationships/hyperlink" Target="https://www.legifrance.gouv.fr/affichCodeArticle.do?idArticle=LEGIARTI000031039554&amp;cidTexte=LEGITEXT000006070299&amp;dateTexte=20160402&amp;oldAction=rechCodeArticle&amp;fastReqId=708774750&amp;nbResultRech=1" TargetMode="External"/><Relationship Id="rId10" Type="http://schemas.openxmlformats.org/officeDocument/2006/relationships/image" Target="media/image2.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egifrance.gouv.fr/affichCode.do;jsessionid=9FDA7E258DC7EAF793FC793FABBADFD9.tpdila17v_1?idSectionTA=LEGISCTA000006180817&amp;cidTexte=LEGITEXT000006070299&amp;dateTexte=2016040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os-courriers-juridique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3339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2</cp:revision>
  <cp:lastPrinted>2017-09-25T14:55:00Z</cp:lastPrinted>
  <dcterms:created xsi:type="dcterms:W3CDTF">2017-10-04T10:08:00Z</dcterms:created>
  <dcterms:modified xsi:type="dcterms:W3CDTF">2017-10-04T10:08:00Z</dcterms:modified>
</cp:coreProperties>
</file>